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7C" w:rsidRDefault="003E5E7C" w:rsidP="003E5E7C">
      <w:pPr>
        <w:rPr>
          <w:sz w:val="26"/>
          <w:szCs w:val="26"/>
        </w:rPr>
      </w:pPr>
    </w:p>
    <w:p w:rsidR="003E5E7C" w:rsidRDefault="003E5E7C" w:rsidP="003E5E7C">
      <w:pPr>
        <w:rPr>
          <w:sz w:val="26"/>
          <w:szCs w:val="26"/>
        </w:rPr>
      </w:pPr>
    </w:p>
    <w:p w:rsidR="003E5E7C" w:rsidRDefault="003E5E7C" w:rsidP="003E5E7C">
      <w:pPr>
        <w:rPr>
          <w:sz w:val="26"/>
          <w:szCs w:val="26"/>
        </w:rPr>
      </w:pPr>
    </w:p>
    <w:p w:rsidR="003E5E7C" w:rsidRDefault="003E5E7C" w:rsidP="003E5E7C">
      <w:pPr>
        <w:rPr>
          <w:sz w:val="26"/>
          <w:szCs w:val="26"/>
        </w:rPr>
      </w:pPr>
    </w:p>
    <w:p w:rsidR="003E5E7C" w:rsidRDefault="003E5E7C" w:rsidP="003E5E7C">
      <w:pPr>
        <w:rPr>
          <w:sz w:val="26"/>
          <w:szCs w:val="26"/>
        </w:rPr>
      </w:pPr>
    </w:p>
    <w:p w:rsidR="003E5E7C" w:rsidRDefault="003E5E7C" w:rsidP="003E5E7C">
      <w:pPr>
        <w:ind w:firstLine="540"/>
        <w:jc w:val="both"/>
        <w:rPr>
          <w:b/>
          <w:sz w:val="24"/>
          <w:szCs w:val="24"/>
          <w:lang w:eastAsia="ko-KR"/>
        </w:rPr>
      </w:pPr>
    </w:p>
    <w:p w:rsidR="003E5E7C" w:rsidRDefault="003E5E7C" w:rsidP="003E5E7C">
      <w:pPr>
        <w:jc w:val="right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Утверждаю</w:t>
      </w:r>
    </w:p>
    <w:p w:rsidR="003E5E7C" w:rsidRDefault="003E5E7C" w:rsidP="003E5E7C">
      <w:pPr>
        <w:jc w:val="right"/>
        <w:rPr>
          <w:rStyle w:val="s1"/>
          <w:b w:val="0"/>
          <w:sz w:val="24"/>
          <w:szCs w:val="24"/>
        </w:rPr>
      </w:pPr>
      <w:r>
        <w:rPr>
          <w:rStyle w:val="s1"/>
          <w:sz w:val="24"/>
          <w:szCs w:val="24"/>
        </w:rPr>
        <w:t>Первый вице президент АО «АТЭЦ»</w:t>
      </w:r>
    </w:p>
    <w:p w:rsidR="003E5E7C" w:rsidRDefault="003E5E7C" w:rsidP="003E5E7C">
      <w:pPr>
        <w:jc w:val="right"/>
        <w:rPr>
          <w:rStyle w:val="s1"/>
          <w:b w:val="0"/>
          <w:sz w:val="24"/>
          <w:szCs w:val="24"/>
        </w:rPr>
      </w:pPr>
    </w:p>
    <w:p w:rsidR="003E5E7C" w:rsidRDefault="003E5E7C" w:rsidP="003E5E7C">
      <w:pPr>
        <w:jc w:val="right"/>
        <w:rPr>
          <w:rStyle w:val="s1"/>
          <w:b w:val="0"/>
          <w:sz w:val="24"/>
          <w:szCs w:val="24"/>
        </w:rPr>
      </w:pPr>
      <w:r>
        <w:rPr>
          <w:rStyle w:val="s1"/>
          <w:sz w:val="24"/>
          <w:szCs w:val="24"/>
        </w:rPr>
        <w:t>______________</w:t>
      </w:r>
      <w:proofErr w:type="spellStart"/>
      <w:r>
        <w:rPr>
          <w:rStyle w:val="s1"/>
          <w:sz w:val="24"/>
          <w:szCs w:val="24"/>
        </w:rPr>
        <w:t>Кульжанисов</w:t>
      </w:r>
      <w:proofErr w:type="spellEnd"/>
      <w:r>
        <w:rPr>
          <w:rStyle w:val="s1"/>
          <w:sz w:val="24"/>
          <w:szCs w:val="24"/>
        </w:rPr>
        <w:t xml:space="preserve"> Б.А.</w:t>
      </w:r>
    </w:p>
    <w:p w:rsidR="003E5E7C" w:rsidRDefault="003E5E7C" w:rsidP="003E5E7C">
      <w:pPr>
        <w:jc w:val="right"/>
        <w:rPr>
          <w:rStyle w:val="s1"/>
          <w:b w:val="0"/>
          <w:sz w:val="24"/>
          <w:szCs w:val="24"/>
        </w:rPr>
      </w:pPr>
    </w:p>
    <w:p w:rsidR="003E5E7C" w:rsidRDefault="003E5E7C" w:rsidP="003E5E7C">
      <w:pPr>
        <w:ind w:left="-709"/>
        <w:jc w:val="right"/>
        <w:rPr>
          <w:rFonts w:eastAsia="Calibri"/>
        </w:rPr>
      </w:pPr>
      <w:r>
        <w:rPr>
          <w:rStyle w:val="s1"/>
          <w:sz w:val="24"/>
          <w:szCs w:val="24"/>
        </w:rPr>
        <w:t>«____» ________________</w:t>
      </w:r>
    </w:p>
    <w:p w:rsidR="003E5E7C" w:rsidRDefault="003E5E7C" w:rsidP="003E5E7C">
      <w:pPr>
        <w:ind w:left="-709"/>
        <w:rPr>
          <w:rFonts w:eastAsia="Calibri"/>
        </w:rPr>
      </w:pPr>
    </w:p>
    <w:p w:rsidR="003E5E7C" w:rsidRDefault="003E5E7C" w:rsidP="003E5E7C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:rsidR="003E5E7C" w:rsidRDefault="003E5E7C" w:rsidP="003E5E7C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ko-KR"/>
        </w:rPr>
        <w:t xml:space="preserve">на разработку норм удельных расходов химических реагентов для </w:t>
      </w:r>
      <w:r>
        <w:rPr>
          <w:sz w:val="24"/>
          <w:szCs w:val="24"/>
          <w:shd w:val="clear" w:color="auto" w:fill="FFFFFF"/>
        </w:rPr>
        <w:t> </w:t>
      </w:r>
      <w:proofErr w:type="spellStart"/>
      <w:r>
        <w:rPr>
          <w:rStyle w:val="a5"/>
          <w:b/>
          <w:bCs/>
          <w:sz w:val="24"/>
          <w:szCs w:val="24"/>
          <w:shd w:val="clear" w:color="auto" w:fill="FFFFFF"/>
        </w:rPr>
        <w:t>химводоочистки</w:t>
      </w:r>
      <w:proofErr w:type="spellEnd"/>
      <w:r>
        <w:rPr>
          <w:b/>
          <w:sz w:val="24"/>
          <w:szCs w:val="24"/>
          <w:lang w:eastAsia="ko-KR"/>
        </w:rPr>
        <w:t xml:space="preserve"> (ХВО) и </w:t>
      </w:r>
      <w:r>
        <w:rPr>
          <w:b/>
          <w:sz w:val="24"/>
          <w:szCs w:val="24"/>
          <w:shd w:val="clear" w:color="auto" w:fill="FFFFFF"/>
        </w:rPr>
        <w:t>водно-химических режимов</w:t>
      </w:r>
      <w:r>
        <w:rPr>
          <w:b/>
          <w:sz w:val="24"/>
          <w:szCs w:val="24"/>
          <w:lang w:eastAsia="ko-KR"/>
        </w:rPr>
        <w:t xml:space="preserve"> (ВХР) АО «</w:t>
      </w:r>
      <w:proofErr w:type="spellStart"/>
      <w:r>
        <w:rPr>
          <w:b/>
          <w:sz w:val="24"/>
          <w:szCs w:val="24"/>
          <w:lang w:eastAsia="ko-KR"/>
        </w:rPr>
        <w:t>Атырауская</w:t>
      </w:r>
      <w:proofErr w:type="spellEnd"/>
      <w:r>
        <w:rPr>
          <w:b/>
          <w:sz w:val="24"/>
          <w:szCs w:val="24"/>
          <w:lang w:eastAsia="ko-KR"/>
        </w:rPr>
        <w:t xml:space="preserve"> ТЭЦ» на </w:t>
      </w:r>
      <w:r>
        <w:rPr>
          <w:b/>
          <w:bCs/>
          <w:sz w:val="24"/>
          <w:szCs w:val="24"/>
        </w:rPr>
        <w:t xml:space="preserve"> 2021-2025 годы АО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Атырауская</w:t>
      </w:r>
      <w:proofErr w:type="spellEnd"/>
      <w:r>
        <w:rPr>
          <w:b/>
          <w:sz w:val="24"/>
          <w:szCs w:val="24"/>
        </w:rPr>
        <w:t xml:space="preserve"> теплоэлектроцентраль»</w:t>
      </w:r>
      <w:r>
        <w:rPr>
          <w:b/>
          <w:bCs/>
          <w:sz w:val="24"/>
          <w:szCs w:val="24"/>
        </w:rPr>
        <w:t>.</w:t>
      </w:r>
    </w:p>
    <w:p w:rsidR="003E5E7C" w:rsidRDefault="003E5E7C" w:rsidP="003E5E7C">
      <w:pPr>
        <w:jc w:val="center"/>
        <w:rPr>
          <w:bCs/>
          <w:sz w:val="24"/>
          <w:szCs w:val="24"/>
        </w:rPr>
      </w:pPr>
    </w:p>
    <w:tbl>
      <w:tblPr>
        <w:tblStyle w:val="a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6375"/>
      </w:tblGrid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основных данных и требований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3E5E7C" w:rsidTr="003E5E7C">
        <w:trPr>
          <w:trHeight w:val="63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работ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C" w:rsidRDefault="003E5E7C">
            <w:pPr>
              <w:pStyle w:val="Style5"/>
              <w:widowControl/>
              <w:tabs>
                <w:tab w:val="left" w:pos="322"/>
              </w:tabs>
              <w:rPr>
                <w:rStyle w:val="FontStyle14"/>
              </w:rPr>
            </w:pPr>
            <w:r>
              <w:rPr>
                <w:lang w:eastAsia="ko-KR"/>
              </w:rPr>
              <w:t xml:space="preserve">Расчет норм удельных расходов реагентов для 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rStyle w:val="a5"/>
                <w:bCs/>
                <w:shd w:val="clear" w:color="auto" w:fill="FFFFFF"/>
              </w:rPr>
              <w:t>химводоочистки</w:t>
            </w:r>
            <w:proofErr w:type="spellEnd"/>
            <w:r>
              <w:rPr>
                <w:lang w:eastAsia="ko-KR"/>
              </w:rPr>
              <w:t xml:space="preserve"> (ХВО) и </w:t>
            </w:r>
            <w:r>
              <w:rPr>
                <w:shd w:val="clear" w:color="auto" w:fill="FFFFFF"/>
              </w:rPr>
              <w:t>вводно-химических режимов</w:t>
            </w:r>
            <w:r>
              <w:rPr>
                <w:lang w:eastAsia="ko-KR"/>
              </w:rPr>
              <w:t xml:space="preserve"> (ВХР) АО «</w:t>
            </w:r>
            <w:proofErr w:type="spellStart"/>
            <w:r>
              <w:rPr>
                <w:lang w:eastAsia="ko-KR"/>
              </w:rPr>
              <w:t>Атырауская</w:t>
            </w:r>
            <w:proofErr w:type="spellEnd"/>
            <w:r>
              <w:rPr>
                <w:lang w:eastAsia="ko-KR"/>
              </w:rPr>
              <w:t xml:space="preserve"> ТЭЦ» на </w:t>
            </w:r>
            <w:r>
              <w:rPr>
                <w:rFonts w:eastAsia="Times New Roman"/>
                <w:bCs/>
              </w:rPr>
              <w:t xml:space="preserve"> 2021-2025 годы,  с учетом ожидаемого ввода нового оборудования (перспектива) в этот период, а также </w:t>
            </w:r>
            <w:r>
              <w:rPr>
                <w:rStyle w:val="FontStyle14"/>
              </w:rPr>
              <w:t xml:space="preserve">при необходимости с </w:t>
            </w:r>
            <w:r>
              <w:rPr>
                <w:rFonts w:eastAsia="Times New Roman"/>
                <w:bCs/>
              </w:rPr>
              <w:t xml:space="preserve">предоставлением заключения экспертизы и </w:t>
            </w:r>
            <w:r>
              <w:rPr>
                <w:rStyle w:val="FontStyle14"/>
              </w:rPr>
              <w:t>согласование его в уполномоченном органе РК</w:t>
            </w:r>
          </w:p>
          <w:p w:rsidR="003E5E7C" w:rsidRDefault="003E5E7C">
            <w:pPr>
              <w:pStyle w:val="Style5"/>
              <w:widowControl/>
              <w:tabs>
                <w:tab w:val="left" w:pos="322"/>
              </w:tabs>
            </w:pPr>
          </w:p>
          <w:p w:rsidR="003E5E7C" w:rsidRDefault="003E5E7C">
            <w:pPr>
              <w:pStyle w:val="Style5"/>
              <w:widowControl/>
              <w:tabs>
                <w:tab w:val="left" w:pos="322"/>
              </w:tabs>
              <w:rPr>
                <w:color w:val="000000"/>
              </w:rPr>
            </w:pP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предприятий</w:t>
            </w:r>
            <w:proofErr w:type="gramEnd"/>
            <w:r>
              <w:rPr>
                <w:sz w:val="24"/>
                <w:szCs w:val="24"/>
              </w:rPr>
              <w:t xml:space="preserve"> на которых планируется выполнение работ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Атырауская</w:t>
            </w:r>
            <w:proofErr w:type="spellEnd"/>
            <w:r>
              <w:rPr>
                <w:sz w:val="24"/>
                <w:szCs w:val="24"/>
              </w:rPr>
              <w:t xml:space="preserve"> теплоэлектроцентраль» г. Атырау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начала и окончания работ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момента подписания  Договора до 30.04.2020года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Нормативно-техническая документация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расчета норм расходов химических реагентов, используемых в технологии производства электроэнергии, </w:t>
            </w:r>
            <w:proofErr w:type="spellStart"/>
            <w:r>
              <w:rPr>
                <w:sz w:val="24"/>
                <w:szCs w:val="24"/>
              </w:rPr>
              <w:t>теплоэнергии</w:t>
            </w:r>
            <w:proofErr w:type="spellEnd"/>
            <w:r>
              <w:rPr>
                <w:sz w:val="24"/>
                <w:szCs w:val="24"/>
              </w:rPr>
              <w:t>, питьевой воды и технической воды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технологические и технические показатели</w:t>
            </w:r>
          </w:p>
          <w:p w:rsidR="003E5E7C" w:rsidRDefault="003E5E7C">
            <w:pPr>
              <w:rPr>
                <w:sz w:val="24"/>
                <w:szCs w:val="24"/>
              </w:rPr>
            </w:pPr>
          </w:p>
          <w:p w:rsidR="003E5E7C" w:rsidRDefault="003E5E7C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pStyle w:val="Style7"/>
              <w:widowControl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Составленные материалы должны содержать:</w:t>
            </w:r>
          </w:p>
          <w:p w:rsidR="003E5E7C" w:rsidRDefault="003E5E7C" w:rsidP="00F23F8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существующей схемы ХВО и ВХР, сбор и анализ исходных данных, оценка влияния ВХР на состояние металла.</w:t>
            </w:r>
          </w:p>
          <w:p w:rsidR="003E5E7C" w:rsidRDefault="003E5E7C" w:rsidP="00F23F8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норм удельных расходов реагентов для нужд ХВО и ВХР.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Составление, согласование и утверждение заключительного технического отчета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Состав основного </w:t>
            </w:r>
            <w:r>
              <w:rPr>
                <w:rStyle w:val="FontStyle14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Паровые котлы: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ст. № 1,2 типа БКЗ-120-100ГМ;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3-7, 10 типа БКЗ-160-100ГМ;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8, 9, 11, 12,14 типа ТГМ-151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 xml:space="preserve"> (Е-220/100ГМ);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№ 13 типа ТГМ-159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Паровые турбины: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1, 2, типа ПТ-12-35/10М, КТЗ;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3, 4, 8, 9, 10 типа ПТ-25-90/10, КТЗ;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5, 6 типа ПТ-60-90/12, ЛМЗ;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7 типа Т-45/50-90, ЛМЗ.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12 типа К-100/90, ЛМЗ.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Перспектива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паровые котлы: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№ 15 типа ТГМ-151 </w:t>
            </w:r>
            <w:proofErr w:type="gramStart"/>
            <w:r>
              <w:rPr>
                <w:sz w:val="24"/>
                <w:szCs w:val="24"/>
              </w:rPr>
              <w:t>Б–</w:t>
            </w:r>
            <w:proofErr w:type="gramEnd"/>
            <w:r>
              <w:rPr>
                <w:sz w:val="24"/>
                <w:szCs w:val="24"/>
              </w:rPr>
              <w:t xml:space="preserve"> год ввода в эксплуатацию 2022г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паровые турбины: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13, типа ПТ-65-90/13, ЛМ</w:t>
            </w:r>
            <w:proofErr w:type="gramStart"/>
            <w:r>
              <w:rPr>
                <w:sz w:val="24"/>
                <w:szCs w:val="24"/>
              </w:rPr>
              <w:t>З–</w:t>
            </w:r>
            <w:proofErr w:type="gramEnd"/>
            <w:r>
              <w:rPr>
                <w:sz w:val="24"/>
                <w:szCs w:val="24"/>
              </w:rPr>
              <w:t xml:space="preserve"> год ввода в эксплуатацию 2021г.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№ 11 типа ПТ-25-90/10, КТ</w:t>
            </w:r>
            <w:proofErr w:type="gramStart"/>
            <w:r>
              <w:rPr>
                <w:sz w:val="24"/>
                <w:szCs w:val="24"/>
              </w:rPr>
              <w:t>З–</w:t>
            </w:r>
            <w:proofErr w:type="gramEnd"/>
            <w:r>
              <w:rPr>
                <w:sz w:val="24"/>
                <w:szCs w:val="24"/>
              </w:rPr>
              <w:t xml:space="preserve"> год ввода в эксплуатацию 2022г.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газовая турбин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ГТУ-60 – год ввода в эксплуатацию 2020г.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 охране труда и промышленной безопасности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Закон РК «О гражданской защите» № 188-V ЗРК от 11.04.2014 г.;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работы с персоналом в энергетических организациях РК от 26.03.15г №234;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Правила обеспечения промышленной безопасности при эксплуатации оборудования, работающего под давлением от 30.12.14г №358;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пожарной безопасности для энергетических предприятий от 20 февраля 2015 года   № 123;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ПТБ при эксплуатации тепломеханического оборудования станции и сетей;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на основании имеющейся инфраструктуры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 автоматизации системы управления процессом и метрологическому обеспечению*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Наличие необходимых для выполнения работ, собственных средств измерений,</w:t>
            </w:r>
            <w:r>
              <w:rPr>
                <w:rStyle w:val="FontStyle14"/>
                <w:sz w:val="24"/>
                <w:szCs w:val="24"/>
              </w:rPr>
              <w:t xml:space="preserve"> для снятия характеристик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потенциальному поставщику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должны выполняться в соответствии со </w:t>
            </w:r>
            <w:proofErr w:type="spellStart"/>
            <w:r>
              <w:rPr>
                <w:sz w:val="24"/>
                <w:szCs w:val="24"/>
              </w:rPr>
              <w:t>следущими</w:t>
            </w:r>
            <w:proofErr w:type="spellEnd"/>
            <w:r>
              <w:rPr>
                <w:sz w:val="24"/>
                <w:szCs w:val="24"/>
              </w:rPr>
              <w:t xml:space="preserve"> требованиями: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Обязательным условием оказания услуг является соблюдение правил действующего внутреннего распорядка Заказчика, контрольно–пропускного режима, внутренних положений, инструкций и требований.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До начала производства работ, Подрядчик </w:t>
            </w:r>
            <w:proofErr w:type="gramStart"/>
            <w:r>
              <w:rPr>
                <w:sz w:val="24"/>
                <w:szCs w:val="24"/>
              </w:rPr>
              <w:t>предоставляет документы</w:t>
            </w:r>
            <w:proofErr w:type="gramEnd"/>
            <w:r>
              <w:rPr>
                <w:sz w:val="24"/>
                <w:szCs w:val="24"/>
              </w:rPr>
              <w:t xml:space="preserve"> персонала, подтверждающие их квалификацию.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Выполнение работ подрядчик </w:t>
            </w:r>
            <w:proofErr w:type="spellStart"/>
            <w:r>
              <w:rPr>
                <w:sz w:val="24"/>
                <w:szCs w:val="24"/>
              </w:rPr>
              <w:t>производитс</w:t>
            </w:r>
            <w:proofErr w:type="spellEnd"/>
            <w:r>
              <w:rPr>
                <w:sz w:val="24"/>
                <w:szCs w:val="24"/>
              </w:rPr>
              <w:t xml:space="preserve"> применением собственной материально-технической базы. 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 окончании работ Подрядчик разрабатывает, </w:t>
            </w:r>
            <w:r>
              <w:rPr>
                <w:sz w:val="24"/>
                <w:szCs w:val="24"/>
              </w:rPr>
              <w:lastRenderedPageBreak/>
              <w:t>формирует и предоставляет: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отчеты с заключениями и рекомендациями по устранению выявленных замечаний и недостатков в работе и состоянии оборудования.</w:t>
            </w:r>
          </w:p>
          <w:p w:rsidR="003E5E7C" w:rsidRDefault="003E5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Расчет </w:t>
            </w:r>
            <w:r>
              <w:rPr>
                <w:sz w:val="24"/>
                <w:szCs w:val="24"/>
                <w:lang w:eastAsia="ko-KR"/>
              </w:rPr>
              <w:t xml:space="preserve">норм удельных расходов химических реагентов для </w:t>
            </w:r>
            <w:r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a5"/>
                <w:bCs/>
                <w:sz w:val="24"/>
                <w:szCs w:val="24"/>
                <w:shd w:val="clear" w:color="auto" w:fill="FFFFFF"/>
              </w:rPr>
              <w:t>химводоочистки</w:t>
            </w:r>
            <w:proofErr w:type="spellEnd"/>
            <w:r>
              <w:rPr>
                <w:sz w:val="24"/>
                <w:szCs w:val="24"/>
                <w:lang w:eastAsia="ko-KR"/>
              </w:rPr>
              <w:t xml:space="preserve"> (ХВО) и </w:t>
            </w:r>
            <w:r>
              <w:rPr>
                <w:sz w:val="24"/>
                <w:szCs w:val="24"/>
                <w:shd w:val="clear" w:color="auto" w:fill="FFFFFF"/>
              </w:rPr>
              <w:t>водно-химических режимов.</w:t>
            </w:r>
            <w:r>
              <w:rPr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</w:rPr>
              <w:t>Отчет должен быть представлен заказчику на бумажном (2 ед.) и   электронном носителе.</w:t>
            </w:r>
          </w:p>
        </w:tc>
      </w:tr>
      <w:tr w:rsidR="003E5E7C" w:rsidTr="003E5E7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исходных документов и материалов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E7C" w:rsidRDefault="003E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предоставляет требуемые исходные данные (проектную, заводскую, оперативную, эксплуатационную, ремонтную и иную документацию) в соответствии с запросом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7 календарных дней с момента его получения от Исполнителя.</w:t>
            </w:r>
          </w:p>
        </w:tc>
      </w:tr>
    </w:tbl>
    <w:p w:rsidR="003E5E7C" w:rsidRDefault="003E5E7C" w:rsidP="003E5E7C">
      <w:pPr>
        <w:jc w:val="both"/>
        <w:rPr>
          <w:rFonts w:eastAsia="Calibri"/>
          <w:b/>
          <w:sz w:val="24"/>
          <w:szCs w:val="24"/>
        </w:rPr>
      </w:pPr>
    </w:p>
    <w:p w:rsidR="003E5E7C" w:rsidRDefault="003E5E7C" w:rsidP="003E5E7C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3E5E7C" w:rsidRDefault="003E5E7C" w:rsidP="003E5E7C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3E5E7C" w:rsidRDefault="003E5E7C" w:rsidP="003E5E7C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Начальник ПТО                                              </w:t>
      </w:r>
      <w:proofErr w:type="spellStart"/>
      <w:r>
        <w:rPr>
          <w:rFonts w:eastAsia="Calibri"/>
          <w:sz w:val="24"/>
          <w:szCs w:val="24"/>
        </w:rPr>
        <w:t>Жумаханов</w:t>
      </w:r>
      <w:proofErr w:type="spellEnd"/>
      <w:r>
        <w:rPr>
          <w:rFonts w:eastAsia="Calibri"/>
          <w:sz w:val="24"/>
          <w:szCs w:val="24"/>
        </w:rPr>
        <w:t xml:space="preserve"> С.К.</w:t>
      </w:r>
    </w:p>
    <w:p w:rsidR="003E5E7C" w:rsidRDefault="003E5E7C" w:rsidP="003E5E7C">
      <w:pPr>
        <w:ind w:firstLine="540"/>
        <w:jc w:val="both"/>
        <w:rPr>
          <w:b/>
          <w:sz w:val="24"/>
          <w:szCs w:val="24"/>
          <w:lang w:eastAsia="ko-KR"/>
        </w:rPr>
      </w:pPr>
    </w:p>
    <w:p w:rsidR="003E5E7C" w:rsidRDefault="003E5E7C" w:rsidP="003E5E7C">
      <w:pPr>
        <w:rPr>
          <w:sz w:val="24"/>
          <w:szCs w:val="24"/>
        </w:rPr>
      </w:pPr>
    </w:p>
    <w:p w:rsidR="003E5E7C" w:rsidRDefault="003E5E7C" w:rsidP="003E5E7C">
      <w:pPr>
        <w:rPr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0E7"/>
    <w:multiLevelType w:val="hybridMultilevel"/>
    <w:tmpl w:val="0AB0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8D"/>
    <w:rsid w:val="003E5E7C"/>
    <w:rsid w:val="00524B44"/>
    <w:rsid w:val="00AC4330"/>
    <w:rsid w:val="00E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34"/>
    <w:qFormat/>
    <w:rsid w:val="003E5E7C"/>
    <w:pPr>
      <w:ind w:left="720"/>
      <w:contextualSpacing/>
    </w:pPr>
  </w:style>
  <w:style w:type="paragraph" w:customStyle="1" w:styleId="Style5">
    <w:name w:val="Style5"/>
    <w:basedOn w:val="a"/>
    <w:uiPriority w:val="99"/>
    <w:rsid w:val="003E5E7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3E5E7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character" w:customStyle="1" w:styleId="s1">
    <w:name w:val="s1"/>
    <w:rsid w:val="003E5E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Style14">
    <w:name w:val="Font Style14"/>
    <w:basedOn w:val="a0"/>
    <w:uiPriority w:val="99"/>
    <w:rsid w:val="003E5E7C"/>
    <w:rPr>
      <w:rFonts w:ascii="Times New Roman" w:hAnsi="Times New Roman" w:cs="Times New Roman" w:hint="default"/>
      <w:color w:val="000000"/>
      <w:sz w:val="26"/>
      <w:szCs w:val="26"/>
    </w:rPr>
  </w:style>
  <w:style w:type="table" w:styleId="a4">
    <w:name w:val="Table Grid"/>
    <w:basedOn w:val="a1"/>
    <w:uiPriority w:val="39"/>
    <w:rsid w:val="003E5E7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3E5E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34"/>
    <w:qFormat/>
    <w:rsid w:val="003E5E7C"/>
    <w:pPr>
      <w:ind w:left="720"/>
      <w:contextualSpacing/>
    </w:pPr>
  </w:style>
  <w:style w:type="paragraph" w:customStyle="1" w:styleId="Style5">
    <w:name w:val="Style5"/>
    <w:basedOn w:val="a"/>
    <w:uiPriority w:val="99"/>
    <w:rsid w:val="003E5E7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3E5E7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character" w:customStyle="1" w:styleId="s1">
    <w:name w:val="s1"/>
    <w:rsid w:val="003E5E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Style14">
    <w:name w:val="Font Style14"/>
    <w:basedOn w:val="a0"/>
    <w:uiPriority w:val="99"/>
    <w:rsid w:val="003E5E7C"/>
    <w:rPr>
      <w:rFonts w:ascii="Times New Roman" w:hAnsi="Times New Roman" w:cs="Times New Roman" w:hint="default"/>
      <w:color w:val="000000"/>
      <w:sz w:val="26"/>
      <w:szCs w:val="26"/>
    </w:rPr>
  </w:style>
  <w:style w:type="table" w:styleId="a4">
    <w:name w:val="Table Grid"/>
    <w:basedOn w:val="a1"/>
    <w:uiPriority w:val="39"/>
    <w:rsid w:val="003E5E7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3E5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2020-01-28T05:46:00Z</dcterms:created>
  <dcterms:modified xsi:type="dcterms:W3CDTF">2020-01-28T05:46:00Z</dcterms:modified>
</cp:coreProperties>
</file>